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1B1D" w:rsidRPr="007B63F9" w:rsidRDefault="00000000" w:rsidP="007B63F9">
      <w:pPr>
        <w:pStyle w:val="Heading1"/>
        <w:jc w:val="center"/>
        <w:rPr>
          <w:color w:val="000000" w:themeColor="text1"/>
        </w:rPr>
      </w:pPr>
      <w:r w:rsidRPr="007B63F9">
        <w:rPr>
          <w:color w:val="000000" w:themeColor="text1"/>
        </w:rPr>
        <w:t>POPI POLICY FOR LEARNERS</w:t>
      </w:r>
    </w:p>
    <w:p w:rsidR="00CD1B1D" w:rsidRPr="007B63F9" w:rsidRDefault="00000000" w:rsidP="007B63F9">
      <w:pPr>
        <w:ind w:left="-709"/>
        <w:jc w:val="both"/>
        <w:rPr>
          <w:color w:val="000000" w:themeColor="text1"/>
        </w:rPr>
      </w:pPr>
      <w:r w:rsidRPr="007B63F9">
        <w:rPr>
          <w:color w:val="000000" w:themeColor="text1"/>
        </w:rPr>
        <w:t>(Aligned with QCTO Criteria and the Protection of Personal Information Act (POPIA), Act No. 4 of 2013)</w:t>
      </w:r>
    </w:p>
    <w:p w:rsidR="007B63F9" w:rsidRDefault="007B63F9" w:rsidP="007B63F9">
      <w:pPr>
        <w:pStyle w:val="Heading2"/>
        <w:jc w:val="both"/>
        <w:rPr>
          <w:color w:val="000000" w:themeColor="text1"/>
        </w:rPr>
      </w:pPr>
    </w:p>
    <w:p w:rsidR="00CD1B1D" w:rsidRPr="007B63F9" w:rsidRDefault="00000000" w:rsidP="007B63F9">
      <w:pPr>
        <w:pStyle w:val="Heading2"/>
        <w:jc w:val="both"/>
        <w:rPr>
          <w:color w:val="000000" w:themeColor="text1"/>
        </w:rPr>
      </w:pPr>
      <w:r w:rsidRPr="007B63F9">
        <w:rPr>
          <w:color w:val="000000" w:themeColor="text1"/>
        </w:rPr>
        <w:t>1. Purpose</w:t>
      </w:r>
    </w:p>
    <w:p w:rsidR="00CD1B1D" w:rsidRPr="007B63F9" w:rsidRDefault="00000000" w:rsidP="007B63F9">
      <w:pPr>
        <w:jc w:val="both"/>
        <w:rPr>
          <w:color w:val="000000" w:themeColor="text1"/>
        </w:rPr>
      </w:pPr>
      <w:r w:rsidRPr="007B63F9">
        <w:rPr>
          <w:color w:val="000000" w:themeColor="text1"/>
        </w:rPr>
        <w:t>This policy outlines how [Skills Development Provider Name] collects, processes, stores, and protects personal information of learners, in compliance with the Protection of Personal Information Act (POPIA) and the QCTO requirements for data management.</w:t>
      </w:r>
    </w:p>
    <w:p w:rsidR="00CD1B1D" w:rsidRPr="007B63F9" w:rsidRDefault="00000000" w:rsidP="007B63F9">
      <w:pPr>
        <w:pStyle w:val="Heading2"/>
        <w:jc w:val="both"/>
        <w:rPr>
          <w:color w:val="000000" w:themeColor="text1"/>
        </w:rPr>
      </w:pPr>
      <w:r w:rsidRPr="007B63F9">
        <w:rPr>
          <w:color w:val="000000" w:themeColor="text1"/>
        </w:rPr>
        <w:t>2. Definitions</w:t>
      </w:r>
    </w:p>
    <w:p w:rsidR="00CD1B1D" w:rsidRPr="007B63F9" w:rsidRDefault="00000000" w:rsidP="007B63F9">
      <w:pPr>
        <w:jc w:val="both"/>
        <w:rPr>
          <w:color w:val="000000" w:themeColor="text1"/>
        </w:rPr>
      </w:pPr>
      <w:r w:rsidRPr="007B63F9">
        <w:rPr>
          <w:color w:val="000000" w:themeColor="text1"/>
        </w:rPr>
        <w:t>Data Subject: The learner whose personal information is being collected.</w:t>
      </w:r>
    </w:p>
    <w:p w:rsidR="00CD1B1D" w:rsidRPr="007B63F9" w:rsidRDefault="00000000" w:rsidP="007B63F9">
      <w:pPr>
        <w:jc w:val="both"/>
        <w:rPr>
          <w:color w:val="000000" w:themeColor="text1"/>
        </w:rPr>
      </w:pPr>
      <w:r w:rsidRPr="007B63F9">
        <w:rPr>
          <w:color w:val="000000" w:themeColor="text1"/>
        </w:rPr>
        <w:t>Personal Information: Any information relating to an identifiable person, including name, ID number, contact details, academic records, etc.</w:t>
      </w:r>
    </w:p>
    <w:p w:rsidR="00CD1B1D" w:rsidRPr="007B63F9" w:rsidRDefault="00000000" w:rsidP="007B63F9">
      <w:pPr>
        <w:jc w:val="both"/>
        <w:rPr>
          <w:color w:val="000000" w:themeColor="text1"/>
        </w:rPr>
      </w:pPr>
      <w:r w:rsidRPr="007B63F9">
        <w:rPr>
          <w:color w:val="000000" w:themeColor="text1"/>
        </w:rPr>
        <w:t>Responsible Party: The Skills Development Provider (SDP) managing learner data.</w:t>
      </w:r>
    </w:p>
    <w:p w:rsidR="00CD1B1D" w:rsidRPr="007B63F9" w:rsidRDefault="00000000" w:rsidP="007B63F9">
      <w:pPr>
        <w:jc w:val="both"/>
        <w:rPr>
          <w:color w:val="000000" w:themeColor="text1"/>
        </w:rPr>
      </w:pPr>
      <w:r w:rsidRPr="007B63F9">
        <w:rPr>
          <w:color w:val="000000" w:themeColor="text1"/>
        </w:rPr>
        <w:t>Processing: Any operation performed on personal information, including collection, storage, use, or destruction.</w:t>
      </w:r>
    </w:p>
    <w:p w:rsidR="00CD1B1D" w:rsidRPr="007B63F9" w:rsidRDefault="00000000" w:rsidP="007B63F9">
      <w:pPr>
        <w:pStyle w:val="Heading2"/>
        <w:jc w:val="both"/>
        <w:rPr>
          <w:color w:val="000000" w:themeColor="text1"/>
        </w:rPr>
      </w:pPr>
      <w:r w:rsidRPr="007B63F9">
        <w:rPr>
          <w:color w:val="000000" w:themeColor="text1"/>
        </w:rPr>
        <w:t>3. Scope</w:t>
      </w:r>
    </w:p>
    <w:p w:rsidR="00CD1B1D" w:rsidRPr="007B63F9" w:rsidRDefault="00000000" w:rsidP="007B63F9">
      <w:pPr>
        <w:jc w:val="both"/>
        <w:rPr>
          <w:color w:val="000000" w:themeColor="text1"/>
        </w:rPr>
      </w:pPr>
      <w:r w:rsidRPr="007B63F9">
        <w:rPr>
          <w:color w:val="000000" w:themeColor="text1"/>
        </w:rPr>
        <w:t xml:space="preserve">This policy applies to all enrolled learners in QCTO-accredited qualifications, part-qualifications, or skills programmes facilitated by </w:t>
      </w:r>
      <w:r w:rsidRPr="007B63F9">
        <w:rPr>
          <w:color w:val="FF0000"/>
        </w:rPr>
        <w:t>[SDP Name].</w:t>
      </w:r>
    </w:p>
    <w:p w:rsidR="00CD1B1D" w:rsidRPr="007B63F9" w:rsidRDefault="00000000" w:rsidP="007B63F9">
      <w:pPr>
        <w:pStyle w:val="Heading2"/>
        <w:jc w:val="both"/>
        <w:rPr>
          <w:color w:val="000000" w:themeColor="text1"/>
        </w:rPr>
      </w:pPr>
      <w:r w:rsidRPr="007B63F9">
        <w:rPr>
          <w:color w:val="000000" w:themeColor="text1"/>
        </w:rPr>
        <w:t>4. Collection of Information</w:t>
      </w:r>
    </w:p>
    <w:p w:rsidR="00CD1B1D" w:rsidRPr="007B63F9" w:rsidRDefault="00000000" w:rsidP="007B63F9">
      <w:pPr>
        <w:jc w:val="both"/>
        <w:rPr>
          <w:color w:val="000000" w:themeColor="text1"/>
        </w:rPr>
      </w:pPr>
      <w:r w:rsidRPr="007B63F9">
        <w:rPr>
          <w:color w:val="000000" w:themeColor="text1"/>
        </w:rPr>
        <w:t>We collect learner data for the following purposes:</w:t>
      </w:r>
    </w:p>
    <w:p w:rsidR="00CD1B1D" w:rsidRPr="007B63F9" w:rsidRDefault="00000000" w:rsidP="007B63F9">
      <w:pPr>
        <w:pStyle w:val="ListParagraph"/>
        <w:numPr>
          <w:ilvl w:val="0"/>
          <w:numId w:val="10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Registration with QCTO and relevant SETA</w:t>
      </w:r>
    </w:p>
    <w:p w:rsidR="00CD1B1D" w:rsidRPr="007B63F9" w:rsidRDefault="00000000" w:rsidP="007B63F9">
      <w:pPr>
        <w:pStyle w:val="ListParagraph"/>
        <w:numPr>
          <w:ilvl w:val="0"/>
          <w:numId w:val="10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Verification of qualifications (e.g., SAQA ID, ID documents)</w:t>
      </w:r>
    </w:p>
    <w:p w:rsidR="00CD1B1D" w:rsidRPr="007B63F9" w:rsidRDefault="00000000" w:rsidP="007B63F9">
      <w:pPr>
        <w:pStyle w:val="ListParagraph"/>
        <w:numPr>
          <w:ilvl w:val="0"/>
          <w:numId w:val="10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Assessment and moderation reporting</w:t>
      </w:r>
    </w:p>
    <w:p w:rsidR="00CD1B1D" w:rsidRPr="007B63F9" w:rsidRDefault="00000000" w:rsidP="007B63F9">
      <w:pPr>
        <w:pStyle w:val="ListParagraph"/>
        <w:numPr>
          <w:ilvl w:val="0"/>
          <w:numId w:val="10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Certification application and issuance</w:t>
      </w:r>
    </w:p>
    <w:p w:rsidR="00CD1B1D" w:rsidRPr="007B63F9" w:rsidRDefault="00000000" w:rsidP="007B63F9">
      <w:pPr>
        <w:pStyle w:val="ListParagraph"/>
        <w:numPr>
          <w:ilvl w:val="0"/>
          <w:numId w:val="10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Learnership and work placement tracking</w:t>
      </w:r>
    </w:p>
    <w:p w:rsidR="00CD1B1D" w:rsidRPr="007B63F9" w:rsidRDefault="00000000" w:rsidP="007B63F9">
      <w:pPr>
        <w:pStyle w:val="ListParagraph"/>
        <w:numPr>
          <w:ilvl w:val="0"/>
          <w:numId w:val="10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Communication and learner support</w:t>
      </w:r>
    </w:p>
    <w:p w:rsidR="00CD1B1D" w:rsidRPr="007B63F9" w:rsidRDefault="00000000" w:rsidP="007B63F9">
      <w:pPr>
        <w:pStyle w:val="Heading2"/>
        <w:jc w:val="both"/>
        <w:rPr>
          <w:color w:val="000000" w:themeColor="text1"/>
        </w:rPr>
      </w:pPr>
      <w:r w:rsidRPr="007B63F9">
        <w:rPr>
          <w:color w:val="000000" w:themeColor="text1"/>
        </w:rPr>
        <w:t>5. Types of Personal Information Collected</w:t>
      </w:r>
    </w:p>
    <w:p w:rsidR="00CD1B1D" w:rsidRPr="007B63F9" w:rsidRDefault="00000000" w:rsidP="007B63F9">
      <w:pPr>
        <w:pStyle w:val="ListParagraph"/>
        <w:numPr>
          <w:ilvl w:val="1"/>
          <w:numId w:val="17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Full names and identity number</w:t>
      </w:r>
    </w:p>
    <w:p w:rsidR="00CD1B1D" w:rsidRPr="007B63F9" w:rsidRDefault="00000000" w:rsidP="007B63F9">
      <w:pPr>
        <w:pStyle w:val="ListParagraph"/>
        <w:numPr>
          <w:ilvl w:val="1"/>
          <w:numId w:val="17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Contact details (email, phone number, address)</w:t>
      </w:r>
    </w:p>
    <w:p w:rsidR="00CD1B1D" w:rsidRPr="007B63F9" w:rsidRDefault="00000000" w:rsidP="007B63F9">
      <w:pPr>
        <w:pStyle w:val="ListParagraph"/>
        <w:numPr>
          <w:ilvl w:val="1"/>
          <w:numId w:val="17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Employment and education history</w:t>
      </w:r>
    </w:p>
    <w:p w:rsidR="00CD1B1D" w:rsidRPr="007B63F9" w:rsidRDefault="00000000" w:rsidP="007B63F9">
      <w:pPr>
        <w:pStyle w:val="ListParagraph"/>
        <w:numPr>
          <w:ilvl w:val="1"/>
          <w:numId w:val="17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Assessment results and learning achievements</w:t>
      </w:r>
    </w:p>
    <w:p w:rsidR="00CD1B1D" w:rsidRPr="007B63F9" w:rsidRDefault="00000000" w:rsidP="007B63F9">
      <w:pPr>
        <w:pStyle w:val="ListParagraph"/>
        <w:numPr>
          <w:ilvl w:val="1"/>
          <w:numId w:val="17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Financial and banking information (if applicable)</w:t>
      </w:r>
    </w:p>
    <w:p w:rsidR="00CD1B1D" w:rsidRPr="007B63F9" w:rsidRDefault="00000000" w:rsidP="007B63F9">
      <w:pPr>
        <w:pStyle w:val="Heading2"/>
        <w:jc w:val="both"/>
        <w:rPr>
          <w:color w:val="000000" w:themeColor="text1"/>
        </w:rPr>
      </w:pPr>
      <w:r w:rsidRPr="007B63F9">
        <w:rPr>
          <w:color w:val="000000" w:themeColor="text1"/>
        </w:rPr>
        <w:lastRenderedPageBreak/>
        <w:t>6. Processing and Use of Information</w:t>
      </w:r>
    </w:p>
    <w:p w:rsidR="00CD1B1D" w:rsidRPr="007B63F9" w:rsidRDefault="00000000" w:rsidP="007B63F9">
      <w:pPr>
        <w:jc w:val="both"/>
        <w:rPr>
          <w:color w:val="000000" w:themeColor="text1"/>
        </w:rPr>
      </w:pPr>
      <w:r w:rsidRPr="007B63F9">
        <w:rPr>
          <w:color w:val="000000" w:themeColor="text1"/>
        </w:rPr>
        <w:t>We undertake to:</w:t>
      </w:r>
    </w:p>
    <w:p w:rsidR="00CD1B1D" w:rsidRPr="007B63F9" w:rsidRDefault="00000000" w:rsidP="007B63F9">
      <w:pPr>
        <w:pStyle w:val="ListParagraph"/>
        <w:numPr>
          <w:ilvl w:val="1"/>
          <w:numId w:val="14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Only process personal information for legitimate educational purposes</w:t>
      </w:r>
    </w:p>
    <w:p w:rsidR="00CD1B1D" w:rsidRPr="007B63F9" w:rsidRDefault="00000000" w:rsidP="007B63F9">
      <w:pPr>
        <w:pStyle w:val="ListParagraph"/>
        <w:numPr>
          <w:ilvl w:val="1"/>
          <w:numId w:val="14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Ensure data is complete, accurate, and up-to-date</w:t>
      </w:r>
    </w:p>
    <w:p w:rsidR="00CD1B1D" w:rsidRPr="007B63F9" w:rsidRDefault="00000000" w:rsidP="007B63F9">
      <w:pPr>
        <w:pStyle w:val="ListParagraph"/>
        <w:numPr>
          <w:ilvl w:val="1"/>
          <w:numId w:val="14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Provide access to learner records only to authorized personnel or regulatory bodies (e.g., QCTO, SETA, SAQA)</w:t>
      </w:r>
    </w:p>
    <w:p w:rsidR="00CD1B1D" w:rsidRPr="007B63F9" w:rsidRDefault="00000000" w:rsidP="007B63F9">
      <w:pPr>
        <w:pStyle w:val="Heading2"/>
        <w:jc w:val="both"/>
        <w:rPr>
          <w:color w:val="000000" w:themeColor="text1"/>
        </w:rPr>
      </w:pPr>
      <w:r w:rsidRPr="007B63F9">
        <w:rPr>
          <w:color w:val="000000" w:themeColor="text1"/>
        </w:rPr>
        <w:t>7. Storage and Security</w:t>
      </w:r>
    </w:p>
    <w:p w:rsidR="00CD1B1D" w:rsidRPr="007B63F9" w:rsidRDefault="00000000" w:rsidP="007B63F9">
      <w:pPr>
        <w:jc w:val="both"/>
        <w:rPr>
          <w:color w:val="000000" w:themeColor="text1"/>
        </w:rPr>
      </w:pPr>
      <w:r w:rsidRPr="007B63F9">
        <w:rPr>
          <w:color w:val="000000" w:themeColor="text1"/>
        </w:rPr>
        <w:t>Learner information is securely stored in both physical and digital formats. Security measures include:</w:t>
      </w:r>
    </w:p>
    <w:p w:rsidR="00CD1B1D" w:rsidRPr="007B63F9" w:rsidRDefault="00000000" w:rsidP="007B63F9">
      <w:pPr>
        <w:pStyle w:val="ListParagraph"/>
        <w:numPr>
          <w:ilvl w:val="1"/>
          <w:numId w:val="16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Password-protected systems</w:t>
      </w:r>
    </w:p>
    <w:p w:rsidR="00CD1B1D" w:rsidRPr="007B63F9" w:rsidRDefault="00000000" w:rsidP="007B63F9">
      <w:pPr>
        <w:pStyle w:val="ListParagraph"/>
        <w:numPr>
          <w:ilvl w:val="1"/>
          <w:numId w:val="16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Limited access to administrative staff</w:t>
      </w:r>
    </w:p>
    <w:p w:rsidR="00CD1B1D" w:rsidRPr="007B63F9" w:rsidRDefault="00000000" w:rsidP="007B63F9">
      <w:pPr>
        <w:pStyle w:val="ListParagraph"/>
        <w:numPr>
          <w:ilvl w:val="1"/>
          <w:numId w:val="16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Locked file cabinets for paper-based records</w:t>
      </w:r>
    </w:p>
    <w:p w:rsidR="00CD1B1D" w:rsidRPr="007B63F9" w:rsidRDefault="00000000" w:rsidP="007B63F9">
      <w:pPr>
        <w:pStyle w:val="ListParagraph"/>
        <w:numPr>
          <w:ilvl w:val="1"/>
          <w:numId w:val="16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Regular backups and anti-virus protection</w:t>
      </w:r>
    </w:p>
    <w:p w:rsidR="00CD1B1D" w:rsidRPr="007B63F9" w:rsidRDefault="00000000" w:rsidP="007B63F9">
      <w:pPr>
        <w:pStyle w:val="Heading2"/>
        <w:jc w:val="both"/>
        <w:rPr>
          <w:color w:val="000000" w:themeColor="text1"/>
        </w:rPr>
      </w:pPr>
      <w:r w:rsidRPr="007B63F9">
        <w:rPr>
          <w:color w:val="000000" w:themeColor="text1"/>
        </w:rPr>
        <w:t>8. Sharing and Disclosure</w:t>
      </w:r>
    </w:p>
    <w:p w:rsidR="00CD1B1D" w:rsidRPr="007B63F9" w:rsidRDefault="00000000" w:rsidP="007B63F9">
      <w:pPr>
        <w:jc w:val="both"/>
        <w:rPr>
          <w:color w:val="000000" w:themeColor="text1"/>
        </w:rPr>
      </w:pPr>
      <w:r w:rsidRPr="007B63F9">
        <w:rPr>
          <w:color w:val="000000" w:themeColor="text1"/>
        </w:rPr>
        <w:t>We may share learner information only with:</w:t>
      </w:r>
    </w:p>
    <w:p w:rsidR="00CD1B1D" w:rsidRPr="007B63F9" w:rsidRDefault="00000000" w:rsidP="007B63F9">
      <w:pPr>
        <w:pStyle w:val="ListParagraph"/>
        <w:numPr>
          <w:ilvl w:val="1"/>
          <w:numId w:val="19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QCTO and SETAs for accreditation and certification purposes</w:t>
      </w:r>
    </w:p>
    <w:p w:rsidR="00CD1B1D" w:rsidRPr="007B63F9" w:rsidRDefault="00000000" w:rsidP="007B63F9">
      <w:pPr>
        <w:pStyle w:val="ListParagraph"/>
        <w:numPr>
          <w:ilvl w:val="1"/>
          <w:numId w:val="19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DHET and SAQA for national reporting</w:t>
      </w:r>
    </w:p>
    <w:p w:rsidR="00CD1B1D" w:rsidRPr="007B63F9" w:rsidRDefault="00000000" w:rsidP="007B63F9">
      <w:pPr>
        <w:pStyle w:val="ListParagraph"/>
        <w:numPr>
          <w:ilvl w:val="1"/>
          <w:numId w:val="19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Employers (in the case of learnerships or internships)</w:t>
      </w:r>
    </w:p>
    <w:p w:rsidR="00CD1B1D" w:rsidRPr="007B63F9" w:rsidRDefault="00000000" w:rsidP="007B63F9">
      <w:pPr>
        <w:jc w:val="both"/>
        <w:rPr>
          <w:color w:val="000000" w:themeColor="text1"/>
        </w:rPr>
      </w:pPr>
      <w:r w:rsidRPr="007B63F9">
        <w:rPr>
          <w:color w:val="000000" w:themeColor="text1"/>
        </w:rPr>
        <w:t>No information will be sold or disclosed to third parties for commercial use.</w:t>
      </w:r>
    </w:p>
    <w:p w:rsidR="00CD1B1D" w:rsidRPr="007B63F9" w:rsidRDefault="00000000" w:rsidP="007B63F9">
      <w:pPr>
        <w:pStyle w:val="Heading2"/>
        <w:jc w:val="both"/>
        <w:rPr>
          <w:color w:val="000000" w:themeColor="text1"/>
        </w:rPr>
      </w:pPr>
      <w:r w:rsidRPr="007B63F9">
        <w:rPr>
          <w:color w:val="000000" w:themeColor="text1"/>
        </w:rPr>
        <w:t>9. Rights of the Learner</w:t>
      </w:r>
    </w:p>
    <w:p w:rsidR="00CD1B1D" w:rsidRPr="007B63F9" w:rsidRDefault="00000000" w:rsidP="007B63F9">
      <w:pPr>
        <w:jc w:val="both"/>
        <w:rPr>
          <w:color w:val="000000" w:themeColor="text1"/>
        </w:rPr>
      </w:pPr>
      <w:r w:rsidRPr="007B63F9">
        <w:rPr>
          <w:color w:val="000000" w:themeColor="text1"/>
        </w:rPr>
        <w:t>Learners have the right to:</w:t>
      </w:r>
    </w:p>
    <w:p w:rsidR="00CD1B1D" w:rsidRPr="007B63F9" w:rsidRDefault="00000000" w:rsidP="007B63F9">
      <w:pPr>
        <w:pStyle w:val="ListParagraph"/>
        <w:numPr>
          <w:ilvl w:val="1"/>
          <w:numId w:val="21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Access their personal records</w:t>
      </w:r>
    </w:p>
    <w:p w:rsidR="00CD1B1D" w:rsidRPr="007B63F9" w:rsidRDefault="00000000" w:rsidP="007B63F9">
      <w:pPr>
        <w:pStyle w:val="ListParagraph"/>
        <w:numPr>
          <w:ilvl w:val="1"/>
          <w:numId w:val="21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Request corrections to inaccurate data</w:t>
      </w:r>
    </w:p>
    <w:p w:rsidR="00CD1B1D" w:rsidRPr="007B63F9" w:rsidRDefault="00000000" w:rsidP="007B63F9">
      <w:pPr>
        <w:pStyle w:val="ListParagraph"/>
        <w:numPr>
          <w:ilvl w:val="1"/>
          <w:numId w:val="21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Withdraw consent to use information (where not legally required)</w:t>
      </w:r>
    </w:p>
    <w:p w:rsidR="00CD1B1D" w:rsidRPr="007B63F9" w:rsidRDefault="00000000" w:rsidP="007B63F9">
      <w:pPr>
        <w:pStyle w:val="ListParagraph"/>
        <w:numPr>
          <w:ilvl w:val="1"/>
          <w:numId w:val="21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Lodge a complaint with the Information Regulator</w:t>
      </w:r>
    </w:p>
    <w:p w:rsidR="00CD1B1D" w:rsidRPr="007B63F9" w:rsidRDefault="00000000" w:rsidP="007B63F9">
      <w:pPr>
        <w:pStyle w:val="Heading2"/>
        <w:jc w:val="both"/>
        <w:rPr>
          <w:color w:val="000000" w:themeColor="text1"/>
        </w:rPr>
      </w:pPr>
      <w:r w:rsidRPr="007B63F9">
        <w:rPr>
          <w:color w:val="000000" w:themeColor="text1"/>
        </w:rPr>
        <w:t>10. Retention of Records</w:t>
      </w:r>
    </w:p>
    <w:p w:rsidR="00CD1B1D" w:rsidRPr="007B63F9" w:rsidRDefault="00000000" w:rsidP="007B63F9">
      <w:pPr>
        <w:jc w:val="both"/>
        <w:rPr>
          <w:color w:val="000000" w:themeColor="text1"/>
        </w:rPr>
      </w:pPr>
      <w:r w:rsidRPr="007B63F9">
        <w:rPr>
          <w:color w:val="000000" w:themeColor="text1"/>
        </w:rPr>
        <w:t>Records will be retained in line with QCTO’s prescribed retention schedule:</w:t>
      </w:r>
    </w:p>
    <w:p w:rsidR="00CD1B1D" w:rsidRPr="007B63F9" w:rsidRDefault="00000000" w:rsidP="007B63F9">
      <w:pPr>
        <w:pStyle w:val="ListParagraph"/>
        <w:numPr>
          <w:ilvl w:val="1"/>
          <w:numId w:val="23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5 years for administrative records</w:t>
      </w:r>
    </w:p>
    <w:p w:rsidR="00CD1B1D" w:rsidRPr="007B63F9" w:rsidRDefault="00000000" w:rsidP="007B63F9">
      <w:pPr>
        <w:pStyle w:val="ListParagraph"/>
        <w:numPr>
          <w:ilvl w:val="1"/>
          <w:numId w:val="23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10 years for learner results and certification records</w:t>
      </w:r>
    </w:p>
    <w:p w:rsidR="00CD1B1D" w:rsidRPr="007B63F9" w:rsidRDefault="00000000" w:rsidP="007B63F9">
      <w:pPr>
        <w:pStyle w:val="ListParagraph"/>
        <w:numPr>
          <w:ilvl w:val="1"/>
          <w:numId w:val="23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Indefinitely for historical qualification achievements</w:t>
      </w:r>
    </w:p>
    <w:p w:rsidR="00CD1B1D" w:rsidRPr="007B63F9" w:rsidRDefault="00000000" w:rsidP="007B63F9">
      <w:pPr>
        <w:pStyle w:val="Heading2"/>
        <w:jc w:val="both"/>
        <w:rPr>
          <w:color w:val="000000" w:themeColor="text1"/>
        </w:rPr>
      </w:pPr>
      <w:r w:rsidRPr="007B63F9">
        <w:rPr>
          <w:color w:val="000000" w:themeColor="text1"/>
        </w:rPr>
        <w:t>11. Breach Management</w:t>
      </w:r>
    </w:p>
    <w:p w:rsidR="00CD1B1D" w:rsidRPr="007B63F9" w:rsidRDefault="00000000" w:rsidP="007B63F9">
      <w:pPr>
        <w:jc w:val="both"/>
        <w:rPr>
          <w:color w:val="000000" w:themeColor="text1"/>
        </w:rPr>
      </w:pPr>
      <w:r w:rsidRPr="007B63F9">
        <w:rPr>
          <w:color w:val="000000" w:themeColor="text1"/>
        </w:rPr>
        <w:t>In the event of a data breach, learners will be informed within a reasonable timeframe, and corrective measures will be taken immediately as per the Data Breach Response Procedure.</w:t>
      </w:r>
    </w:p>
    <w:p w:rsidR="00CD1B1D" w:rsidRPr="007B63F9" w:rsidRDefault="00000000" w:rsidP="007B63F9">
      <w:pPr>
        <w:pStyle w:val="Heading2"/>
        <w:jc w:val="both"/>
        <w:rPr>
          <w:color w:val="000000" w:themeColor="text1"/>
        </w:rPr>
      </w:pPr>
      <w:r w:rsidRPr="007B63F9">
        <w:rPr>
          <w:color w:val="000000" w:themeColor="text1"/>
        </w:rPr>
        <w:t>12. Policy Review</w:t>
      </w:r>
    </w:p>
    <w:p w:rsidR="00CD1B1D" w:rsidRPr="007B63F9" w:rsidRDefault="00000000" w:rsidP="007B63F9">
      <w:pPr>
        <w:jc w:val="both"/>
        <w:rPr>
          <w:color w:val="000000" w:themeColor="text1"/>
        </w:rPr>
      </w:pPr>
      <w:r w:rsidRPr="007B63F9">
        <w:rPr>
          <w:color w:val="000000" w:themeColor="text1"/>
        </w:rPr>
        <w:t>This policy will be reviewed annually or upon any legislative or QCTO guideline changes.</w:t>
      </w:r>
    </w:p>
    <w:p w:rsidR="00CD1B1D" w:rsidRPr="007B63F9" w:rsidRDefault="00000000" w:rsidP="007B63F9">
      <w:pPr>
        <w:pStyle w:val="Heading2"/>
        <w:jc w:val="both"/>
        <w:rPr>
          <w:color w:val="000000" w:themeColor="text1"/>
        </w:rPr>
      </w:pPr>
      <w:r w:rsidRPr="007B63F9">
        <w:rPr>
          <w:color w:val="000000" w:themeColor="text1"/>
        </w:rPr>
        <w:t>13. Learner Consent and Acknowledgement</w:t>
      </w:r>
    </w:p>
    <w:p w:rsidR="00CD1B1D" w:rsidRPr="007B63F9" w:rsidRDefault="00000000" w:rsidP="007B63F9">
      <w:pPr>
        <w:jc w:val="both"/>
        <w:rPr>
          <w:color w:val="000000" w:themeColor="text1"/>
        </w:rPr>
      </w:pPr>
      <w:r w:rsidRPr="007B63F9">
        <w:rPr>
          <w:color w:val="000000" w:themeColor="text1"/>
        </w:rPr>
        <w:t>I, the undersigned, hereby confirm that:</w:t>
      </w:r>
    </w:p>
    <w:p w:rsidR="00CD1B1D" w:rsidRPr="007B63F9" w:rsidRDefault="00000000" w:rsidP="007B63F9">
      <w:pPr>
        <w:pStyle w:val="ListParagraph"/>
        <w:numPr>
          <w:ilvl w:val="1"/>
          <w:numId w:val="25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I have read and understood the contents of this POPI Policy.</w:t>
      </w:r>
    </w:p>
    <w:p w:rsidR="00CD1B1D" w:rsidRPr="007B63F9" w:rsidRDefault="00000000" w:rsidP="007B63F9">
      <w:pPr>
        <w:pStyle w:val="ListParagraph"/>
        <w:numPr>
          <w:ilvl w:val="1"/>
          <w:numId w:val="25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 xml:space="preserve">I give </w:t>
      </w:r>
      <w:r w:rsidRPr="007B63F9">
        <w:rPr>
          <w:color w:val="FF0000"/>
        </w:rPr>
        <w:t xml:space="preserve">[SDP Name] </w:t>
      </w:r>
      <w:r w:rsidRPr="007B63F9">
        <w:rPr>
          <w:color w:val="000000" w:themeColor="text1"/>
        </w:rPr>
        <w:t>consent to collect, process, and store my personal information for the purposes stated above.</w:t>
      </w:r>
    </w:p>
    <w:p w:rsidR="00CD1B1D" w:rsidRPr="007B63F9" w:rsidRDefault="00000000" w:rsidP="007B63F9">
      <w:pPr>
        <w:pStyle w:val="ListParagraph"/>
        <w:numPr>
          <w:ilvl w:val="1"/>
          <w:numId w:val="25"/>
        </w:numPr>
        <w:jc w:val="both"/>
        <w:rPr>
          <w:color w:val="000000" w:themeColor="text1"/>
        </w:rPr>
      </w:pPr>
      <w:r w:rsidRPr="007B63F9">
        <w:rPr>
          <w:color w:val="000000" w:themeColor="text1"/>
        </w:rPr>
        <w:t>I am aware of my rights under POPIA and the QCTO regulatory framework.</w:t>
      </w:r>
    </w:p>
    <w:p w:rsidR="00CD1B1D" w:rsidRPr="007B63F9" w:rsidRDefault="00CD1B1D" w:rsidP="007B63F9">
      <w:pPr>
        <w:jc w:val="both"/>
        <w:rPr>
          <w:color w:val="000000" w:themeColor="text1"/>
        </w:rPr>
      </w:pPr>
    </w:p>
    <w:p w:rsidR="00CD1B1D" w:rsidRPr="007B63F9" w:rsidRDefault="00000000" w:rsidP="007B63F9">
      <w:pPr>
        <w:jc w:val="both"/>
        <w:rPr>
          <w:color w:val="000000" w:themeColor="text1"/>
        </w:rPr>
      </w:pPr>
      <w:r w:rsidRPr="007B63F9">
        <w:rPr>
          <w:b/>
          <w:bCs/>
          <w:color w:val="000000" w:themeColor="text1"/>
        </w:rPr>
        <w:t>Learner Name:</w:t>
      </w:r>
      <w:r w:rsidRPr="007B63F9">
        <w:rPr>
          <w:color w:val="000000" w:themeColor="text1"/>
        </w:rPr>
        <w:t xml:space="preserve"> ___________________________</w:t>
      </w:r>
      <w:r w:rsidR="007B63F9">
        <w:rPr>
          <w:color w:val="000000" w:themeColor="text1"/>
        </w:rPr>
        <w:t>__________</w:t>
      </w:r>
    </w:p>
    <w:p w:rsidR="00CD1B1D" w:rsidRPr="007B63F9" w:rsidRDefault="00000000" w:rsidP="007B63F9">
      <w:pPr>
        <w:jc w:val="both"/>
        <w:rPr>
          <w:color w:val="000000" w:themeColor="text1"/>
        </w:rPr>
      </w:pPr>
      <w:r w:rsidRPr="007B63F9">
        <w:rPr>
          <w:b/>
          <w:bCs/>
          <w:color w:val="000000" w:themeColor="text1"/>
        </w:rPr>
        <w:t>ID Number:</w:t>
      </w:r>
      <w:r w:rsidRPr="007B63F9">
        <w:rPr>
          <w:color w:val="000000" w:themeColor="text1"/>
        </w:rPr>
        <w:t xml:space="preserve"> ___________________________</w:t>
      </w:r>
      <w:r w:rsidR="007B63F9">
        <w:rPr>
          <w:color w:val="000000" w:themeColor="text1"/>
        </w:rPr>
        <w:t>_____________</w:t>
      </w:r>
    </w:p>
    <w:p w:rsidR="00CD1B1D" w:rsidRPr="007B63F9" w:rsidRDefault="00000000" w:rsidP="007B63F9">
      <w:pPr>
        <w:jc w:val="both"/>
        <w:rPr>
          <w:color w:val="000000" w:themeColor="text1"/>
        </w:rPr>
      </w:pPr>
      <w:r w:rsidRPr="007B63F9">
        <w:rPr>
          <w:b/>
          <w:bCs/>
          <w:color w:val="000000" w:themeColor="text1"/>
        </w:rPr>
        <w:t>Signature:</w:t>
      </w:r>
      <w:r w:rsidRPr="007B63F9">
        <w:rPr>
          <w:color w:val="000000" w:themeColor="text1"/>
        </w:rPr>
        <w:t xml:space="preserve"> ___________________________</w:t>
      </w:r>
      <w:r w:rsidR="007B63F9">
        <w:rPr>
          <w:color w:val="000000" w:themeColor="text1"/>
        </w:rPr>
        <w:t>______________</w:t>
      </w:r>
    </w:p>
    <w:p w:rsidR="00CD1B1D" w:rsidRPr="007B63F9" w:rsidRDefault="00000000" w:rsidP="007B63F9">
      <w:pPr>
        <w:jc w:val="both"/>
        <w:rPr>
          <w:color w:val="000000" w:themeColor="text1"/>
        </w:rPr>
      </w:pPr>
      <w:r w:rsidRPr="007B63F9">
        <w:rPr>
          <w:b/>
          <w:bCs/>
          <w:color w:val="000000" w:themeColor="text1"/>
        </w:rPr>
        <w:t>Date:</w:t>
      </w:r>
      <w:r w:rsidRPr="007B63F9">
        <w:rPr>
          <w:color w:val="000000" w:themeColor="text1"/>
        </w:rPr>
        <w:t xml:space="preserve"> ___________________________</w:t>
      </w:r>
      <w:r w:rsidR="007B63F9">
        <w:rPr>
          <w:color w:val="000000" w:themeColor="text1"/>
        </w:rPr>
        <w:t>__________________</w:t>
      </w:r>
    </w:p>
    <w:sectPr w:rsidR="00CD1B1D" w:rsidRPr="007B63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CE0C6B"/>
    <w:multiLevelType w:val="hybridMultilevel"/>
    <w:tmpl w:val="44A008F2"/>
    <w:lvl w:ilvl="0" w:tplc="901ADE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6720E"/>
    <w:multiLevelType w:val="hybridMultilevel"/>
    <w:tmpl w:val="DCAC73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855B5"/>
    <w:multiLevelType w:val="hybridMultilevel"/>
    <w:tmpl w:val="A47A7F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25198"/>
    <w:multiLevelType w:val="hybridMultilevel"/>
    <w:tmpl w:val="80525D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083D8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C5E6C"/>
    <w:multiLevelType w:val="hybridMultilevel"/>
    <w:tmpl w:val="4F527F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A3EE3"/>
    <w:multiLevelType w:val="hybridMultilevel"/>
    <w:tmpl w:val="5B32FB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67F52"/>
    <w:multiLevelType w:val="hybridMultilevel"/>
    <w:tmpl w:val="706E99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91CD0"/>
    <w:multiLevelType w:val="hybridMultilevel"/>
    <w:tmpl w:val="7C10DB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35395"/>
    <w:multiLevelType w:val="hybridMultilevel"/>
    <w:tmpl w:val="3D9603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07A2D"/>
    <w:multiLevelType w:val="hybridMultilevel"/>
    <w:tmpl w:val="CFDCB8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D6CA5"/>
    <w:multiLevelType w:val="hybridMultilevel"/>
    <w:tmpl w:val="E592AE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74A83"/>
    <w:multiLevelType w:val="hybridMultilevel"/>
    <w:tmpl w:val="8222E0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D4079"/>
    <w:multiLevelType w:val="hybridMultilevel"/>
    <w:tmpl w:val="241A4C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36BC4"/>
    <w:multiLevelType w:val="hybridMultilevel"/>
    <w:tmpl w:val="F3E0A3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F08FB"/>
    <w:multiLevelType w:val="hybridMultilevel"/>
    <w:tmpl w:val="877AB5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12CDA"/>
    <w:multiLevelType w:val="hybridMultilevel"/>
    <w:tmpl w:val="F326B1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522884">
    <w:abstractNumId w:val="8"/>
  </w:num>
  <w:num w:numId="2" w16cid:durableId="1023827035">
    <w:abstractNumId w:val="6"/>
  </w:num>
  <w:num w:numId="3" w16cid:durableId="1398744102">
    <w:abstractNumId w:val="5"/>
  </w:num>
  <w:num w:numId="4" w16cid:durableId="702218896">
    <w:abstractNumId w:val="4"/>
  </w:num>
  <w:num w:numId="5" w16cid:durableId="405735036">
    <w:abstractNumId w:val="7"/>
  </w:num>
  <w:num w:numId="6" w16cid:durableId="433328013">
    <w:abstractNumId w:val="3"/>
  </w:num>
  <w:num w:numId="7" w16cid:durableId="856694652">
    <w:abstractNumId w:val="2"/>
  </w:num>
  <w:num w:numId="8" w16cid:durableId="1722511138">
    <w:abstractNumId w:val="1"/>
  </w:num>
  <w:num w:numId="9" w16cid:durableId="524290988">
    <w:abstractNumId w:val="0"/>
  </w:num>
  <w:num w:numId="10" w16cid:durableId="264923550">
    <w:abstractNumId w:val="12"/>
  </w:num>
  <w:num w:numId="11" w16cid:durableId="1930191419">
    <w:abstractNumId w:val="9"/>
  </w:num>
  <w:num w:numId="12" w16cid:durableId="1999189173">
    <w:abstractNumId w:val="20"/>
  </w:num>
  <w:num w:numId="13" w16cid:durableId="1656762442">
    <w:abstractNumId w:val="15"/>
  </w:num>
  <w:num w:numId="14" w16cid:durableId="1502699750">
    <w:abstractNumId w:val="14"/>
  </w:num>
  <w:num w:numId="15" w16cid:durableId="1267889370">
    <w:abstractNumId w:val="11"/>
  </w:num>
  <w:num w:numId="16" w16cid:durableId="1399671525">
    <w:abstractNumId w:val="24"/>
  </w:num>
  <w:num w:numId="17" w16cid:durableId="1711300720">
    <w:abstractNumId w:val="10"/>
  </w:num>
  <w:num w:numId="18" w16cid:durableId="2122801842">
    <w:abstractNumId w:val="13"/>
  </w:num>
  <w:num w:numId="19" w16cid:durableId="1185677492">
    <w:abstractNumId w:val="17"/>
  </w:num>
  <w:num w:numId="20" w16cid:durableId="181362769">
    <w:abstractNumId w:val="21"/>
  </w:num>
  <w:num w:numId="21" w16cid:durableId="1403408875">
    <w:abstractNumId w:val="19"/>
  </w:num>
  <w:num w:numId="22" w16cid:durableId="163209264">
    <w:abstractNumId w:val="22"/>
  </w:num>
  <w:num w:numId="23" w16cid:durableId="586698007">
    <w:abstractNumId w:val="23"/>
  </w:num>
  <w:num w:numId="24" w16cid:durableId="689456194">
    <w:abstractNumId w:val="18"/>
  </w:num>
  <w:num w:numId="25" w16cid:durableId="508873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B63F9"/>
    <w:rsid w:val="00AA1D8D"/>
    <w:rsid w:val="00B370FF"/>
    <w:rsid w:val="00B47730"/>
    <w:rsid w:val="00CB0664"/>
    <w:rsid w:val="00CD1B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3107E9F"/>
  <w14:defaultImageDpi w14:val="300"/>
  <w15:docId w15:val="{C05F211B-8FD8-40A1-9022-169D7D0F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Stephanie Nelson</cp:lastModifiedBy>
  <cp:revision>2</cp:revision>
  <dcterms:created xsi:type="dcterms:W3CDTF">2013-12-23T23:15:00Z</dcterms:created>
  <dcterms:modified xsi:type="dcterms:W3CDTF">2025-07-24T08:29:00Z</dcterms:modified>
  <cp:category/>
</cp:coreProperties>
</file>